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Midwife E-Learning Project</w:t>
        <w:br w:type="textWrapping"/>
        <w:t xml:space="preserve">Terms of Reference to develop module 1 - maternal nutrition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May 2025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Start 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ASAP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Fixed-term contract Length: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6-months from 1st May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Daily Rate: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To be agreed as per consultant rate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Purpose: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develop and pilot and e-learning module for the midwife training programme to strengthen the effectiveness of the Action for Development Midwife training framework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  <w:t xml:space="preserve">Key deliverables: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Procure effective e-learning software programme that can be used to implement midwife e-learning programme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evelop and test 45 min - 1.5-hour maternal nutrition training session for midwives.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Translate e-learning materials into Persian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an end of project report to summarise learning and recommendations for other midwife training modules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 Assignment: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the maternal nutrition course content of a 2.5-hour training session for midwives.  Key topics to cover include: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1125" w:hanging="360"/>
        <w:rPr>
          <w:rFonts w:ascii="Aptos" w:cs="Aptos" w:eastAsia="Aptos" w:hAnsi="Apto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Nutrition Matters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Role of Midwives in Nutrition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Healthy Eating during pregnancy and breastfeeding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breastfeeding is important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Breastfeeding in the first hour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Breastfeeding techniques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Common breastfeeding challenges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Monitoring Mother and Baby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1125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 hygiene</w:t>
      </w:r>
    </w:p>
    <w:p w:rsidR="00000000" w:rsidDel="00000000" w:rsidP="00000000" w:rsidRDefault="00000000" w:rsidRPr="00000000" w14:paraId="0000001A">
      <w:pPr>
        <w:spacing w:line="259" w:lineRule="auto"/>
        <w:ind w:left="112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Procure an effective e-learning software programme that can be used by midwives through mobile technology.  Please note: The software must be: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Easily accessible through basic mobile technology operated in resource-constrained areas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Able to be readily translated into Persian.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Able to monitor numbers of midwives who complete the training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Include a pre-post knowledge test to determine effectiveness of training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value available to procure software and licence fee is up to $1850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translation of materials into Persian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with Midwife Training Coordinator in Kabul to test pilot e-learning modules in Kabul and Takhar provinces</w:t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a detailed training and implementation plan to support project roll-out.  Please note: $20 sim-top up cards are available for up to 80 midwives participating in the training.</w:t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Evaluate the effectiveness of the e-learning pilot and make recommendations for roll-out in an end of project report (due 7-months after start date)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12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4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6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8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00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2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4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6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85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